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:rsidR="007D2BDA" w:rsidRDefault="002667E7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:rsidTr="007D2BDA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:rsidR="002A2389" w:rsidRDefault="00903131" w:rsidP="00D32B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GOVERNANCE, AUDIT, RISK MANAGEMENT &amp; STANDARDS</w:t>
            </w:r>
            <w:r w:rsidR="00FF71E5"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  <w:r w:rsidR="00D841A5" w:rsidRPr="00D841A5">
              <w:rPr>
                <w:rFonts w:ascii="Arial Black" w:hAnsi="Arial Black" w:cs="Arial"/>
                <w:sz w:val="36"/>
                <w:szCs w:val="36"/>
              </w:rPr>
              <w:t>COMMITTEE</w:t>
            </w:r>
          </w:p>
          <w:p w:rsidR="002C1794" w:rsidRPr="002C1794" w:rsidRDefault="002C1794" w:rsidP="00D32B51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</w:p>
        </w:tc>
      </w:tr>
      <w:tr w:rsidR="002A2389" w:rsidTr="007D2BDA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:rsidR="002A2389" w:rsidRDefault="00903131" w:rsidP="007960E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21 January 2020</w:t>
            </w: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:rsidR="002A2389" w:rsidRDefault="00903131" w:rsidP="00903131">
            <w:pPr>
              <w:pStyle w:val="Infotext"/>
              <w:rPr>
                <w:rFonts w:ascii="Arial Black" w:hAnsi="Arial Black" w:cs="Arial"/>
              </w:rPr>
            </w:pPr>
            <w:r w:rsidRPr="00E026EE">
              <w:rPr>
                <w:rFonts w:ascii="Arial Black" w:hAnsi="Arial Black" w:cs="Arial"/>
              </w:rPr>
              <w:t xml:space="preserve">INFORMATION REPORT – </w:t>
            </w:r>
            <w:r>
              <w:rPr>
                <w:rFonts w:ascii="Arial Black" w:hAnsi="Arial Black" w:cs="Arial"/>
              </w:rPr>
              <w:t>Internal Audit and Corporate Anti-fraud Mid-Year Report and Quarter 3 Update 2019/20</w:t>
            </w:r>
          </w:p>
          <w:p w:rsidR="007960E6" w:rsidRDefault="007960E6" w:rsidP="00903131">
            <w:pPr>
              <w:pStyle w:val="Infotext"/>
              <w:rPr>
                <w:rFonts w:cs="Arial"/>
              </w:rPr>
            </w:pP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903131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</w:t>
            </w:r>
          </w:p>
          <w:p w:rsidR="007D56C8" w:rsidRDefault="007D56C8">
            <w:pPr>
              <w:pStyle w:val="Infotext"/>
              <w:rPr>
                <w:rFonts w:cs="Arial"/>
              </w:rPr>
            </w:pP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  <w:p w:rsidR="00213BE7" w:rsidRDefault="00213BE7">
            <w:pPr>
              <w:pStyle w:val="Infotext"/>
              <w:rPr>
                <w:rFonts w:cs="Arial"/>
              </w:rPr>
            </w:pPr>
          </w:p>
        </w:tc>
      </w:tr>
      <w:tr w:rsidR="00B900E2" w:rsidTr="007D2BDA">
        <w:tc>
          <w:tcPr>
            <w:tcW w:w="3456" w:type="dxa"/>
          </w:tcPr>
          <w:p w:rsidR="00B900E2" w:rsidRDefault="000B0E6F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B900E2" w:rsidRDefault="00903131" w:rsidP="00903131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2A2389">
            <w:pPr>
              <w:pStyle w:val="Infotext"/>
            </w:pPr>
          </w:p>
          <w:p w:rsidR="002A2389" w:rsidRDefault="00E4438C" w:rsidP="00E4438C">
            <w:pPr>
              <w:pStyle w:val="Infotext"/>
            </w:pPr>
            <w:r>
              <w:t>Appendix 1 – Internal Audit Mid-Year and Quarter 3 Update Report 2019/20</w:t>
            </w:r>
          </w:p>
          <w:p w:rsidR="00E4438C" w:rsidRDefault="00E4438C" w:rsidP="00E4438C">
            <w:pPr>
              <w:pStyle w:val="Infotext"/>
            </w:pPr>
            <w:r>
              <w:t>Appendix 2 – Corporate Anti-Fraud Team Mid-Year and Quarter 3 Update Report 2019/20</w:t>
            </w:r>
          </w:p>
        </w:tc>
      </w:tr>
    </w:tbl>
    <w:p w:rsidR="002A2389" w:rsidRDefault="002A2389">
      <w:pPr>
        <w:rPr>
          <w:rFonts w:cs="Arial"/>
        </w:rPr>
      </w:pPr>
    </w:p>
    <w:p w:rsidR="002A2389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:rsidR="00675FCB" w:rsidRDefault="00675FCB"/>
        </w:tc>
      </w:tr>
      <w:tr w:rsidR="002A2389">
        <w:tc>
          <w:tcPr>
            <w:tcW w:w="8525" w:type="dxa"/>
          </w:tcPr>
          <w:p w:rsidR="002A2389" w:rsidRDefault="002A2389"/>
          <w:p w:rsidR="002A2389" w:rsidRDefault="002A2389"/>
          <w:p w:rsidR="002A2389" w:rsidRDefault="002A2389">
            <w:r w:rsidRPr="00E4438C">
              <w:t>This report sets out</w:t>
            </w:r>
            <w:r w:rsidR="00E4438C">
              <w:t xml:space="preserve"> progress against the 2019/20 Internal Audit and Corporate Anti-Fraud Plan.</w:t>
            </w:r>
          </w:p>
          <w:p w:rsidR="007960E6" w:rsidRDefault="007960E6"/>
          <w:p w:rsidR="007960E6" w:rsidRPr="007960E6" w:rsidRDefault="007960E6">
            <w:pPr>
              <w:rPr>
                <w:b/>
              </w:rPr>
            </w:pPr>
            <w:r>
              <w:rPr>
                <w:b/>
              </w:rPr>
              <w:t xml:space="preserve">FOR INFORMATION </w:t>
            </w:r>
            <w:bookmarkStart w:id="0" w:name="_GoBack"/>
            <w:bookmarkEnd w:id="0"/>
          </w:p>
          <w:p w:rsidR="002A2389" w:rsidRDefault="002A2389">
            <w:pPr>
              <w:jc w:val="both"/>
              <w:rPr>
                <w:rFonts w:cs="Arial"/>
              </w:rPr>
            </w:pPr>
          </w:p>
        </w:tc>
      </w:tr>
    </w:tbl>
    <w:p w:rsidR="002A2389" w:rsidRDefault="002A2389">
      <w:pPr>
        <w:pStyle w:val="Heading1"/>
        <w:jc w:val="center"/>
        <w:rPr>
          <w:color w:val="0000FF"/>
          <w:sz w:val="28"/>
        </w:rPr>
      </w:pPr>
    </w:p>
    <w:p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p w:rsidR="002A2389" w:rsidRDefault="002A2389">
      <w:pPr>
        <w:pStyle w:val="Heading1"/>
        <w:jc w:val="both"/>
      </w:pPr>
      <w:r>
        <w:lastRenderedPageBreak/>
        <w:br w:type="page"/>
      </w:r>
      <w:r>
        <w:lastRenderedPageBreak/>
        <w:t>Section 2 – Report</w:t>
      </w:r>
    </w:p>
    <w:p w:rsidR="002A2389" w:rsidRDefault="002A2389"/>
    <w:p w:rsidR="002A2389" w:rsidRDefault="002A2389">
      <w:pPr>
        <w:pStyle w:val="Heading2"/>
      </w:pPr>
      <w:r w:rsidRPr="00595384">
        <w:t xml:space="preserve">Background </w:t>
      </w:r>
    </w:p>
    <w:p w:rsidR="00595384" w:rsidRDefault="00595384" w:rsidP="00595384"/>
    <w:p w:rsidR="00595384" w:rsidRDefault="00595384" w:rsidP="00595384">
      <w:pPr>
        <w:ind w:left="561" w:hanging="561"/>
        <w:jc w:val="both"/>
        <w:rPr>
          <w:rFonts w:cs="Arial"/>
        </w:rPr>
      </w:pPr>
      <w:r>
        <w:rPr>
          <w:rFonts w:cs="Arial"/>
        </w:rPr>
        <w:t>2.1.</w:t>
      </w:r>
      <w:r>
        <w:rPr>
          <w:rFonts w:cs="Arial"/>
        </w:rPr>
        <w:tab/>
      </w:r>
      <w:r w:rsidRPr="003F0E04">
        <w:rPr>
          <w:rFonts w:cs="Arial"/>
        </w:rPr>
        <w:t xml:space="preserve">Annually the GARMS Committee considers a mid and full year </w:t>
      </w:r>
      <w:r>
        <w:rPr>
          <w:rFonts w:cs="Arial"/>
        </w:rPr>
        <w:t>r</w:t>
      </w:r>
      <w:r w:rsidRPr="003F0E04">
        <w:rPr>
          <w:rFonts w:cs="Arial"/>
        </w:rPr>
        <w:t>eport</w:t>
      </w:r>
      <w:r>
        <w:rPr>
          <w:rFonts w:cs="Arial"/>
        </w:rPr>
        <w:t xml:space="preserve"> from Internal Audit and Corporate Anti-Fraud c</w:t>
      </w:r>
      <w:r w:rsidRPr="003F0E04">
        <w:rPr>
          <w:rFonts w:cs="Arial"/>
        </w:rPr>
        <w:t xml:space="preserve">overing progress against the </w:t>
      </w:r>
      <w:r>
        <w:rPr>
          <w:rFonts w:cs="Arial"/>
        </w:rPr>
        <w:t>agreed plans</w:t>
      </w:r>
      <w:r w:rsidRPr="003F0E04">
        <w:rPr>
          <w:rFonts w:cs="Arial"/>
        </w:rPr>
        <w:t xml:space="preserve">.  </w:t>
      </w:r>
    </w:p>
    <w:p w:rsidR="002A2389" w:rsidRDefault="002A2389">
      <w:pPr>
        <w:rPr>
          <w:color w:val="0000FF"/>
        </w:rPr>
      </w:pPr>
    </w:p>
    <w:p w:rsidR="00595384" w:rsidRPr="00404759" w:rsidRDefault="00595384" w:rsidP="00595384">
      <w:pPr>
        <w:pStyle w:val="Footer"/>
        <w:tabs>
          <w:tab w:val="clear" w:pos="4153"/>
          <w:tab w:val="clear" w:pos="8306"/>
        </w:tabs>
        <w:rPr>
          <w:rFonts w:cs="Arial"/>
          <w:b/>
          <w:iCs/>
          <w:szCs w:val="20"/>
          <w:lang w:val="en-GB"/>
        </w:rPr>
      </w:pPr>
      <w:r>
        <w:rPr>
          <w:rFonts w:cs="Arial"/>
          <w:b/>
          <w:iCs/>
          <w:szCs w:val="20"/>
          <w:lang w:val="en-GB"/>
        </w:rPr>
        <w:t>Internal Audit Mid–Year and Quarter 3 Update (Appendix 1)</w:t>
      </w:r>
    </w:p>
    <w:p w:rsidR="00213BE7" w:rsidRDefault="00213BE7" w:rsidP="00213BE7"/>
    <w:p w:rsidR="00595384" w:rsidRDefault="00595384" w:rsidP="00595384">
      <w:pPr>
        <w:ind w:left="561" w:hanging="561"/>
        <w:jc w:val="both"/>
        <w:rPr>
          <w:rFonts w:cs="Arial"/>
        </w:rPr>
      </w:pPr>
      <w:r w:rsidRPr="00023896">
        <w:rPr>
          <w:rFonts w:cs="Arial"/>
          <w:szCs w:val="24"/>
        </w:rPr>
        <w:t>2.2.</w:t>
      </w:r>
      <w:r w:rsidRPr="00023896">
        <w:rPr>
          <w:rFonts w:cs="Arial"/>
          <w:szCs w:val="24"/>
        </w:rPr>
        <w:tab/>
      </w:r>
      <w:r w:rsidR="009A3F86">
        <w:rPr>
          <w:rFonts w:cs="Arial"/>
          <w:szCs w:val="24"/>
        </w:rPr>
        <w:t xml:space="preserve">In summary at </w:t>
      </w:r>
      <w:r>
        <w:rPr>
          <w:rFonts w:cs="Arial"/>
          <w:szCs w:val="24"/>
        </w:rPr>
        <w:t xml:space="preserve">mid-year </w:t>
      </w:r>
      <w:r w:rsidRPr="002D0736">
        <w:t xml:space="preserve">Internal Audit </w:t>
      </w:r>
      <w:r>
        <w:t xml:space="preserve">have </w:t>
      </w:r>
      <w:r w:rsidRPr="002D0736">
        <w:t>achieve</w:t>
      </w:r>
      <w:r>
        <w:t>d</w:t>
      </w:r>
      <w:r w:rsidRPr="002D0736">
        <w:t xml:space="preserve"> </w:t>
      </w:r>
      <w:r>
        <w:t>44</w:t>
      </w:r>
      <w:r w:rsidRPr="00D52A98">
        <w:t>%</w:t>
      </w:r>
      <w:r w:rsidRPr="002D0736">
        <w:t xml:space="preserve"> of the 201</w:t>
      </w:r>
      <w:r>
        <w:t>9/20 a</w:t>
      </w:r>
      <w:r w:rsidRPr="002D0736">
        <w:t xml:space="preserve">nnual </w:t>
      </w:r>
      <w:r>
        <w:t>internal a</w:t>
      </w:r>
      <w:r w:rsidRPr="002D0736">
        <w:t>udit</w:t>
      </w:r>
      <w:r>
        <w:t xml:space="preserve"> plan with a further 16% in progress.  This included 100% achievement of the core </w:t>
      </w:r>
      <w:r w:rsidRPr="007A6983">
        <w:t>financial systems reviews</w:t>
      </w:r>
      <w:r>
        <w:t xml:space="preserve"> all of which were given an amber, amber/green or green assurance rating.</w:t>
      </w:r>
      <w:r w:rsidRPr="007A6983">
        <w:t xml:space="preserve">  </w:t>
      </w:r>
      <w:r>
        <w:t>97% of recommendations made</w:t>
      </w:r>
      <w:r>
        <w:rPr>
          <w:rFonts w:cs="Arial"/>
        </w:rPr>
        <w:t xml:space="preserve"> to management to improve internal control </w:t>
      </w:r>
      <w:r w:rsidRPr="007A6983">
        <w:rPr>
          <w:rFonts w:cs="Arial"/>
        </w:rPr>
        <w:t xml:space="preserve">were agreed </w:t>
      </w:r>
      <w:r>
        <w:rPr>
          <w:rFonts w:cs="Arial"/>
        </w:rPr>
        <w:t>for implementation exceeding</w:t>
      </w:r>
      <w:r w:rsidRPr="007A6983">
        <w:rPr>
          <w:rFonts w:cs="Arial"/>
        </w:rPr>
        <w:t xml:space="preserve"> the 95% target</w:t>
      </w:r>
      <w:r>
        <w:rPr>
          <w:rFonts w:cs="Arial"/>
        </w:rPr>
        <w:t xml:space="preserve"> and at the time of follow-up 62% of recommendations previously agreed </w:t>
      </w:r>
      <w:r w:rsidR="009A3F86">
        <w:rPr>
          <w:rFonts w:cs="Arial"/>
        </w:rPr>
        <w:t>by management were implemented/substantially implemented, 20% were in progress and 18% were planned</w:t>
      </w:r>
      <w:r w:rsidRPr="007A6983">
        <w:rPr>
          <w:rFonts w:cs="Arial"/>
        </w:rPr>
        <w:t>.</w:t>
      </w:r>
      <w:r>
        <w:rPr>
          <w:rFonts w:cs="Arial"/>
        </w:rPr>
        <w:t xml:space="preserve"> </w:t>
      </w:r>
    </w:p>
    <w:p w:rsidR="009A3F86" w:rsidRDefault="009A3F86" w:rsidP="00595384">
      <w:pPr>
        <w:ind w:left="561" w:hanging="561"/>
        <w:jc w:val="both"/>
        <w:rPr>
          <w:rFonts w:cs="Arial"/>
        </w:rPr>
      </w:pPr>
    </w:p>
    <w:p w:rsidR="009A3F86" w:rsidRPr="000711D6" w:rsidRDefault="009A3F86" w:rsidP="00595384">
      <w:pPr>
        <w:ind w:left="561" w:hanging="561"/>
        <w:jc w:val="both"/>
        <w:rPr>
          <w:rFonts w:cs="Arial"/>
          <w:color w:val="FF0000"/>
        </w:rPr>
      </w:pPr>
      <w:r>
        <w:rPr>
          <w:rFonts w:cs="Arial"/>
        </w:rPr>
        <w:t>2.3</w:t>
      </w:r>
      <w:r>
        <w:rPr>
          <w:rFonts w:cs="Arial"/>
        </w:rPr>
        <w:tab/>
      </w:r>
      <w:r>
        <w:rPr>
          <w:rFonts w:cs="Arial"/>
          <w:szCs w:val="24"/>
        </w:rPr>
        <w:t>Appendix 1</w:t>
      </w:r>
      <w:r w:rsidRPr="0002389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details the key factors at mid-year for the 2019/20 Head of Internal Audit Opinion, provides </w:t>
      </w:r>
      <w:r w:rsidRPr="00023896">
        <w:rPr>
          <w:rFonts w:cs="Arial"/>
          <w:szCs w:val="24"/>
        </w:rPr>
        <w:t xml:space="preserve">a summary of </w:t>
      </w:r>
      <w:r>
        <w:rPr>
          <w:rFonts w:cs="Arial"/>
          <w:szCs w:val="24"/>
        </w:rPr>
        <w:t xml:space="preserve">all the </w:t>
      </w:r>
      <w:r w:rsidRPr="00023896">
        <w:rPr>
          <w:rFonts w:cs="Arial"/>
          <w:szCs w:val="24"/>
        </w:rPr>
        <w:t xml:space="preserve">work undertaken </w:t>
      </w:r>
      <w:r>
        <w:rPr>
          <w:rFonts w:cs="Arial"/>
          <w:szCs w:val="24"/>
        </w:rPr>
        <w:t>at mid-year and Quarter 3 and the performance of Internal Audit against the agreed key performance indicators at mid-year.</w:t>
      </w:r>
    </w:p>
    <w:p w:rsidR="00595384" w:rsidRPr="00213BE7" w:rsidRDefault="00595384" w:rsidP="00213BE7"/>
    <w:p w:rsidR="009A3F86" w:rsidRPr="00323688" w:rsidRDefault="009A3F86" w:rsidP="009A3F86">
      <w:pPr>
        <w:ind w:left="561" w:hanging="561"/>
        <w:jc w:val="both"/>
        <w:rPr>
          <w:rFonts w:cs="Arial"/>
          <w:b/>
          <w:color w:val="FF0000"/>
        </w:rPr>
      </w:pPr>
      <w:r w:rsidRPr="00B264EC">
        <w:rPr>
          <w:rFonts w:cs="Arial"/>
          <w:b/>
        </w:rPr>
        <w:t>C</w:t>
      </w:r>
      <w:r>
        <w:rPr>
          <w:rFonts w:cs="Arial"/>
          <w:b/>
        </w:rPr>
        <w:t>orporate Anti-Fraud Report (Appendix 2)</w:t>
      </w:r>
      <w:r w:rsidRPr="00323688">
        <w:rPr>
          <w:rFonts w:cs="Arial"/>
          <w:b/>
          <w:color w:val="FF0000"/>
        </w:rPr>
        <w:t xml:space="preserve"> </w:t>
      </w:r>
    </w:p>
    <w:p w:rsidR="009A3F86" w:rsidRPr="00323688" w:rsidRDefault="009A3F86" w:rsidP="009A3F86">
      <w:pPr>
        <w:jc w:val="both"/>
        <w:rPr>
          <w:color w:val="FF0000"/>
          <w:szCs w:val="24"/>
        </w:rPr>
      </w:pPr>
    </w:p>
    <w:p w:rsidR="009A3F86" w:rsidRPr="00E92067" w:rsidRDefault="009A3F86" w:rsidP="009A3F86">
      <w:pPr>
        <w:pStyle w:val="Default"/>
        <w:ind w:left="567" w:hanging="567"/>
        <w:rPr>
          <w:bCs/>
        </w:rPr>
      </w:pPr>
      <w:r w:rsidRPr="00875A0B">
        <w:t>2.</w:t>
      </w:r>
      <w:r>
        <w:t>4</w:t>
      </w:r>
      <w:r w:rsidRPr="00323688">
        <w:rPr>
          <w:color w:val="FF0000"/>
        </w:rPr>
        <w:tab/>
      </w:r>
      <w:r w:rsidRPr="00E92067">
        <w:rPr>
          <w:bCs/>
        </w:rPr>
        <w:t>Of the 1</w:t>
      </w:r>
      <w:r w:rsidR="00935AEF" w:rsidRPr="00E92067">
        <w:rPr>
          <w:bCs/>
        </w:rPr>
        <w:t>7</w:t>
      </w:r>
      <w:r w:rsidRPr="00E92067">
        <w:rPr>
          <w:bCs/>
        </w:rPr>
        <w:t xml:space="preserve"> </w:t>
      </w:r>
      <w:r w:rsidR="00935AEF" w:rsidRPr="00E92067">
        <w:rPr>
          <w:bCs/>
        </w:rPr>
        <w:t xml:space="preserve">work streams contained within the plan, 1(6%) has been achieved, </w:t>
      </w:r>
      <w:r w:rsidR="0058356B" w:rsidRPr="00E92067">
        <w:rPr>
          <w:bCs/>
        </w:rPr>
        <w:t>12</w:t>
      </w:r>
      <w:r w:rsidR="00935AEF" w:rsidRPr="00E92067">
        <w:rPr>
          <w:bCs/>
        </w:rPr>
        <w:t xml:space="preserve"> (</w:t>
      </w:r>
      <w:r w:rsidR="0058356B" w:rsidRPr="00E92067">
        <w:rPr>
          <w:bCs/>
        </w:rPr>
        <w:t xml:space="preserve">71%) </w:t>
      </w:r>
      <w:r w:rsidR="00935AEF" w:rsidRPr="00E92067">
        <w:rPr>
          <w:bCs/>
        </w:rPr>
        <w:t xml:space="preserve">have </w:t>
      </w:r>
      <w:r w:rsidR="0058356B" w:rsidRPr="00E92067">
        <w:rPr>
          <w:bCs/>
        </w:rPr>
        <w:t>commenced and 4 (24%) have yet to commence. In terms of the five 2019/20 performance indicators</w:t>
      </w:r>
      <w:r w:rsidRPr="00E92067">
        <w:rPr>
          <w:bCs/>
        </w:rPr>
        <w:t xml:space="preserve">, </w:t>
      </w:r>
      <w:r w:rsidR="00E92067" w:rsidRPr="00E92067">
        <w:rPr>
          <w:bCs/>
        </w:rPr>
        <w:t>4 (80%) are being achieved with 1 (20%) ongoing.</w:t>
      </w:r>
    </w:p>
    <w:p w:rsidR="009A3F86" w:rsidRPr="00815075" w:rsidRDefault="009A3F86" w:rsidP="009A3F86">
      <w:pPr>
        <w:pStyle w:val="Default"/>
        <w:ind w:left="567" w:hanging="567"/>
        <w:rPr>
          <w:bCs/>
          <w:highlight w:val="yellow"/>
        </w:rPr>
      </w:pPr>
    </w:p>
    <w:p w:rsidR="00213BE7" w:rsidRDefault="00213BE7" w:rsidP="00213BE7">
      <w:pPr>
        <w:pStyle w:val="Heading2"/>
      </w:pPr>
      <w:r>
        <w:t>Legal Implications</w:t>
      </w:r>
    </w:p>
    <w:p w:rsidR="00213BE7" w:rsidRDefault="00213BE7" w:rsidP="00213BE7">
      <w:pPr>
        <w:pStyle w:val="Heading4"/>
        <w:keepNext w:val="0"/>
        <w:rPr>
          <w:b w:val="0"/>
        </w:rPr>
      </w:pPr>
    </w:p>
    <w:p w:rsidR="00815075" w:rsidRPr="00F25CA1" w:rsidRDefault="00E92067" w:rsidP="00C92EED">
      <w:pPr>
        <w:pStyle w:val="Default"/>
        <w:ind w:left="567" w:hanging="567"/>
      </w:pPr>
      <w:r>
        <w:t>2.5</w:t>
      </w:r>
      <w:r>
        <w:tab/>
        <w:t xml:space="preserve">The </w:t>
      </w:r>
      <w:r w:rsidR="00815075" w:rsidRPr="00F25CA1">
        <w:t>Accounts &amp; Audit Regulations 2015</w:t>
      </w:r>
      <w:r>
        <w:t>:</w:t>
      </w:r>
    </w:p>
    <w:p w:rsidR="00815075" w:rsidRPr="00F25CA1" w:rsidRDefault="00815075" w:rsidP="00815075">
      <w:pPr>
        <w:rPr>
          <w:rFonts w:cs="Arial"/>
          <w:szCs w:val="24"/>
        </w:rPr>
      </w:pPr>
    </w:p>
    <w:p w:rsidR="00815075" w:rsidRPr="00F25CA1" w:rsidRDefault="00815075" w:rsidP="00C92EED">
      <w:pPr>
        <w:pStyle w:val="Default"/>
        <w:ind w:left="567"/>
        <w:rPr>
          <w:b/>
          <w:bCs/>
        </w:rPr>
      </w:pPr>
      <w:r w:rsidRPr="00F25CA1">
        <w:rPr>
          <w:b/>
          <w:bCs/>
        </w:rPr>
        <w:t>Internal audit</w:t>
      </w:r>
    </w:p>
    <w:p w:rsidR="00815075" w:rsidRPr="00F25CA1" w:rsidRDefault="00815075" w:rsidP="00C92EED">
      <w:pPr>
        <w:pStyle w:val="Default"/>
        <w:ind w:left="567"/>
      </w:pPr>
      <w:r w:rsidRPr="00F25CA1">
        <w:rPr>
          <w:b/>
          <w:bCs/>
        </w:rPr>
        <w:t>5.</w:t>
      </w:r>
      <w:r w:rsidRPr="00F25CA1">
        <w:t>—(1) A relevant authority must undertake an effective internal audit to evaluate the</w:t>
      </w:r>
      <w:r>
        <w:t xml:space="preserve"> </w:t>
      </w:r>
      <w:r w:rsidRPr="00F25CA1">
        <w:t>effectiveness of its risk management, control and governance processes, taking into account public</w:t>
      </w:r>
      <w:r>
        <w:t xml:space="preserve"> </w:t>
      </w:r>
      <w:r w:rsidRPr="00F25CA1">
        <w:t>sector internal auditing standards or guidance.</w:t>
      </w:r>
    </w:p>
    <w:p w:rsidR="00213BE7" w:rsidRDefault="00213BE7">
      <w:pPr>
        <w:pStyle w:val="Heading2"/>
      </w:pPr>
    </w:p>
    <w:p w:rsidR="002A2389" w:rsidRDefault="002A2389">
      <w:pPr>
        <w:pStyle w:val="Heading2"/>
      </w:pPr>
      <w:r>
        <w:t>Financial Implications</w:t>
      </w:r>
    </w:p>
    <w:p w:rsidR="002C1794" w:rsidRDefault="002C1794"/>
    <w:p w:rsidR="002A2389" w:rsidRDefault="00E92067" w:rsidP="00E92067">
      <w:pPr>
        <w:pStyle w:val="Default"/>
        <w:ind w:left="567" w:hanging="567"/>
      </w:pPr>
      <w:r>
        <w:t xml:space="preserve">2.6 </w:t>
      </w:r>
      <w:r>
        <w:tab/>
      </w:r>
      <w:r w:rsidR="00815075">
        <w:t>There are no financial implications to this report.  The Internal Audit Service and the Corporate Anti-Fraud Service are provided within the set service budgets.</w:t>
      </w:r>
    </w:p>
    <w:p w:rsidR="00FF71E5" w:rsidRDefault="00FF71E5"/>
    <w:p w:rsidR="00E92067" w:rsidRDefault="00E92067">
      <w:pPr>
        <w:rPr>
          <w:rFonts w:cs="Arial"/>
          <w:b/>
          <w:bCs/>
          <w:sz w:val="28"/>
          <w:szCs w:val="32"/>
        </w:rPr>
      </w:pPr>
      <w:r>
        <w:br w:type="page"/>
      </w:r>
    </w:p>
    <w:p w:rsidR="00C32DAE" w:rsidRDefault="00C32DAE" w:rsidP="00E02B50">
      <w:pPr>
        <w:pStyle w:val="Heading2"/>
      </w:pPr>
      <w:r>
        <w:lastRenderedPageBreak/>
        <w:t>Risk Management Implications</w:t>
      </w:r>
    </w:p>
    <w:p w:rsidR="00C32DAE" w:rsidRDefault="00C32DAE" w:rsidP="00C32DAE">
      <w:pPr>
        <w:pStyle w:val="Heading1"/>
        <w:rPr>
          <w:b/>
          <w:sz w:val="24"/>
          <w:szCs w:val="24"/>
        </w:rPr>
      </w:pPr>
    </w:p>
    <w:p w:rsidR="00815075" w:rsidRPr="00F25CA1" w:rsidRDefault="00E92067" w:rsidP="00E92067">
      <w:pPr>
        <w:pStyle w:val="Default"/>
        <w:ind w:left="567" w:hanging="567"/>
      </w:pPr>
      <w:r>
        <w:t xml:space="preserve">2.7 </w:t>
      </w:r>
      <w:r>
        <w:tab/>
      </w:r>
      <w:r w:rsidR="00815075">
        <w:t xml:space="preserve">There are no risk management implications to this report. Both the Internal Audit Plan and the Corporate Anti-Fraud Plan and any reactive work undertaken </w:t>
      </w:r>
      <w:r w:rsidR="00E85A55">
        <w:t xml:space="preserve">are risk based. </w:t>
      </w:r>
    </w:p>
    <w:p w:rsidR="00FD31A0" w:rsidRDefault="00FD31A0" w:rsidP="00C32DAE">
      <w:pPr>
        <w:ind w:right="141"/>
        <w:rPr>
          <w:rFonts w:cs="Arial"/>
          <w:szCs w:val="24"/>
          <w:lang w:val="en-US"/>
        </w:rPr>
      </w:pPr>
    </w:p>
    <w:p w:rsidR="00FD31A0" w:rsidRPr="004A2543" w:rsidRDefault="00FD31A0" w:rsidP="00FD31A0">
      <w:pPr>
        <w:pStyle w:val="Heading2"/>
        <w:keepNext/>
      </w:pPr>
      <w:r w:rsidRPr="004A2543">
        <w:t>Equalities implications</w:t>
      </w:r>
      <w:r w:rsidR="00213BE7">
        <w:t xml:space="preserve"> / Public Sector Equality Duty </w:t>
      </w:r>
    </w:p>
    <w:p w:rsidR="00FD31A0" w:rsidRDefault="00FD31A0" w:rsidP="00FD31A0">
      <w:pPr>
        <w:keepNext/>
      </w:pPr>
    </w:p>
    <w:p w:rsidR="00900464" w:rsidRDefault="00E92067" w:rsidP="00E92067">
      <w:pPr>
        <w:pStyle w:val="Default"/>
        <w:ind w:left="567" w:hanging="567"/>
        <w:rPr>
          <w:lang w:val="en-US"/>
        </w:rPr>
      </w:pPr>
      <w:r>
        <w:t>2.8</w:t>
      </w:r>
      <w:r>
        <w:tab/>
      </w:r>
      <w:r w:rsidR="00E85A55">
        <w:t>There are no equalities implications to this report.</w:t>
      </w:r>
    </w:p>
    <w:p w:rsidR="00213BE7" w:rsidRDefault="00213BE7" w:rsidP="00C32DAE">
      <w:pPr>
        <w:ind w:right="141"/>
        <w:rPr>
          <w:rFonts w:cs="Arial"/>
          <w:szCs w:val="24"/>
          <w:lang w:val="en-US"/>
        </w:rPr>
      </w:pPr>
    </w:p>
    <w:p w:rsidR="004B4A47" w:rsidRPr="00CD57D8" w:rsidRDefault="00AC0AAB" w:rsidP="004B4A47">
      <w:pPr>
        <w:pStyle w:val="Heading2"/>
      </w:pPr>
      <w:r>
        <w:t xml:space="preserve">Council </w:t>
      </w:r>
      <w:r w:rsidR="004B4A47" w:rsidRPr="00CD57D8">
        <w:t>Priorities</w:t>
      </w:r>
    </w:p>
    <w:p w:rsidR="004B4A47" w:rsidRPr="00CD57D8" w:rsidRDefault="004B4A47" w:rsidP="004B4A47">
      <w:pPr>
        <w:keepNext/>
        <w:ind w:right="144"/>
        <w:rPr>
          <w:rFonts w:cs="Arial"/>
          <w:szCs w:val="24"/>
          <w:lang w:val="en-US"/>
        </w:rPr>
      </w:pPr>
    </w:p>
    <w:p w:rsidR="00E85A55" w:rsidRPr="00612A64" w:rsidRDefault="00E92067" w:rsidP="00E92067">
      <w:pPr>
        <w:pStyle w:val="Default"/>
        <w:ind w:left="567" w:hanging="567"/>
        <w:rPr>
          <w:lang w:val="en-US"/>
        </w:rPr>
      </w:pPr>
      <w:r>
        <w:rPr>
          <w:lang w:val="en-US"/>
        </w:rPr>
        <w:t xml:space="preserve">2.9 </w:t>
      </w:r>
      <w:r>
        <w:rPr>
          <w:lang w:val="en-US"/>
        </w:rPr>
        <w:tab/>
      </w:r>
      <w:r w:rsidR="00E85A55">
        <w:rPr>
          <w:lang w:val="en-US"/>
        </w:rPr>
        <w:t xml:space="preserve">Both the Internal Audit Service and Corporate Anti-Fraud Service contribute to all the </w:t>
      </w:r>
      <w:r w:rsidR="00E85A55" w:rsidRPr="00932BF4">
        <w:rPr>
          <w:lang w:val="en-US"/>
        </w:rPr>
        <w:t>corporate priorit</w:t>
      </w:r>
      <w:r w:rsidR="00E85A55">
        <w:rPr>
          <w:lang w:val="en-US"/>
        </w:rPr>
        <w:t>ies by enhancing the robustness of the control environment and governance mechanisms that directly or indirectly support these priorities.</w:t>
      </w:r>
    </w:p>
    <w:p w:rsidR="001B441D" w:rsidRPr="007B7BAC" w:rsidRDefault="001B441D" w:rsidP="001B441D">
      <w:pPr>
        <w:rPr>
          <w:rFonts w:cs="Arial"/>
        </w:rPr>
      </w:pPr>
    </w:p>
    <w:p w:rsidR="00C32DAE" w:rsidRPr="00612A64" w:rsidRDefault="00C32DAE" w:rsidP="00C32DAE">
      <w:pPr>
        <w:rPr>
          <w:rFonts w:ascii="Times New Roman" w:hAnsi="Times New Roman"/>
          <w:szCs w:val="24"/>
          <w:lang w:val="en-US"/>
        </w:rPr>
      </w:pPr>
      <w:r w:rsidRPr="00612A64">
        <w:rPr>
          <w:rFonts w:ascii="Times New Roman" w:hAnsi="Times New Roman"/>
          <w:szCs w:val="24"/>
          <w:lang w:val="en-US"/>
        </w:rPr>
        <w:t> </w:t>
      </w:r>
    </w:p>
    <w:p w:rsidR="002A2389" w:rsidRDefault="002A2389" w:rsidP="008D1750">
      <w:pPr>
        <w:pStyle w:val="Heading1"/>
        <w:keepNext/>
      </w:pPr>
      <w:r>
        <w:t>Section 3 - Statutory Officer Clearance</w:t>
      </w:r>
    </w:p>
    <w:p w:rsidR="002A2389" w:rsidRDefault="002A2389" w:rsidP="008D1750">
      <w:pPr>
        <w:keepNext/>
        <w:rPr>
          <w:rFonts w:cs="Arial"/>
        </w:rPr>
      </w:pPr>
    </w:p>
    <w:p w:rsidR="00E92067" w:rsidRDefault="00E92067" w:rsidP="008D1750">
      <w:pPr>
        <w:keepNext/>
        <w:rPr>
          <w:rFonts w:cs="Arial"/>
        </w:rPr>
      </w:pPr>
      <w:r w:rsidRPr="00E92067">
        <w:rPr>
          <w:rFonts w:cs="Arial"/>
        </w:rPr>
        <w:t xml:space="preserve">3.1 </w:t>
      </w:r>
      <w:r w:rsidRPr="00E92067">
        <w:rPr>
          <w:rFonts w:cs="Arial"/>
        </w:rPr>
        <w:tab/>
        <w:t>As this report is for information only</w:t>
      </w:r>
      <w:r w:rsidR="00B13A18">
        <w:rPr>
          <w:rFonts w:cs="Arial"/>
        </w:rPr>
        <w:t xml:space="preserve"> it has been decided that</w:t>
      </w:r>
      <w:r w:rsidRPr="00E92067">
        <w:rPr>
          <w:rFonts w:cs="Arial"/>
        </w:rPr>
        <w:t xml:space="preserve"> no Statutory Officer Clearance is required.</w:t>
      </w:r>
    </w:p>
    <w:p w:rsidR="002A2389" w:rsidRDefault="002A2389"/>
    <w:p w:rsidR="000B0E6F" w:rsidRDefault="000B0E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0B0E6F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E92067" w:rsidRDefault="00E92067" w:rsidP="008D7800">
            <w:pPr>
              <w:pStyle w:val="Infotext"/>
              <w:rPr>
                <w:rFonts w:ascii="Arial Black" w:hAnsi="Arial Black"/>
              </w:rPr>
            </w:pPr>
          </w:p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0B0E6F" w:rsidRDefault="000B0E6F" w:rsidP="008D7800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0B0E6F" w:rsidRDefault="000B0E6F" w:rsidP="008D7800">
            <w:pPr>
              <w:pStyle w:val="Infotext"/>
            </w:pPr>
          </w:p>
          <w:p w:rsidR="000B0E6F" w:rsidRPr="00A406F3" w:rsidRDefault="000B0E6F" w:rsidP="008D7800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NO </w:t>
            </w:r>
          </w:p>
          <w:p w:rsidR="000B0E6F" w:rsidRPr="003D78F6" w:rsidRDefault="000B0E6F" w:rsidP="00E92067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0B0E6F" w:rsidRDefault="000B0E6F"/>
    <w:p w:rsidR="000B0E6F" w:rsidRDefault="000B0E6F"/>
    <w:p w:rsidR="002A2389" w:rsidRDefault="002A2389" w:rsidP="008D1750">
      <w:pPr>
        <w:pStyle w:val="Heading1"/>
        <w:keepNext/>
      </w:pPr>
      <w:r>
        <w:t>Section 4 - Contact Details and Background Papers</w:t>
      </w:r>
    </w:p>
    <w:p w:rsidR="002A2389" w:rsidRDefault="002A2389" w:rsidP="008D1750">
      <w:pPr>
        <w:keepNext/>
        <w:rPr>
          <w:rFonts w:cs="Arial"/>
        </w:rPr>
      </w:pPr>
    </w:p>
    <w:p w:rsidR="002A2389" w:rsidRDefault="002A2389"/>
    <w:p w:rsidR="00BF0F86" w:rsidRDefault="002A2389" w:rsidP="00BF0F86">
      <w:pPr>
        <w:ind w:left="1309" w:hanging="1309"/>
        <w:rPr>
          <w:rFonts w:cs="Arial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BF0F86">
        <w:tab/>
      </w:r>
      <w:r w:rsidR="00BF0F86" w:rsidRPr="000E3CBD">
        <w:rPr>
          <w:rFonts w:cs="Arial"/>
          <w:szCs w:val="24"/>
        </w:rPr>
        <w:t xml:space="preserve">Susan Dixson, </w:t>
      </w:r>
      <w:r w:rsidR="00BF0F86">
        <w:rPr>
          <w:rFonts w:cs="Arial"/>
          <w:szCs w:val="24"/>
        </w:rPr>
        <w:t xml:space="preserve">Head of </w:t>
      </w:r>
      <w:r w:rsidR="00BF0F86" w:rsidRPr="000E3CBD">
        <w:rPr>
          <w:rFonts w:cs="Arial"/>
          <w:szCs w:val="24"/>
        </w:rPr>
        <w:t>Internal Audit</w:t>
      </w:r>
      <w:r w:rsidR="00BF0F86">
        <w:rPr>
          <w:rFonts w:cs="Arial"/>
          <w:szCs w:val="24"/>
        </w:rPr>
        <w:t xml:space="preserve"> &amp; Corporate Anti-Fraud</w:t>
      </w:r>
      <w:r w:rsidR="00BF0F86" w:rsidRPr="000E3CBD">
        <w:rPr>
          <w:rFonts w:cs="Arial"/>
          <w:szCs w:val="24"/>
        </w:rPr>
        <w:t xml:space="preserve">, </w:t>
      </w:r>
    </w:p>
    <w:p w:rsidR="00BF0F86" w:rsidRDefault="00BF0F86" w:rsidP="00BF0F86">
      <w:pPr>
        <w:ind w:left="589" w:firstLine="720"/>
        <w:rPr>
          <w:rFonts w:cs="Arial"/>
          <w:szCs w:val="24"/>
        </w:rPr>
      </w:pPr>
      <w:r w:rsidRPr="000E3CBD">
        <w:rPr>
          <w:rFonts w:cs="Arial"/>
          <w:szCs w:val="24"/>
        </w:rPr>
        <w:t>Tel:</w:t>
      </w:r>
      <w:r>
        <w:rPr>
          <w:rFonts w:cs="Arial"/>
          <w:szCs w:val="24"/>
        </w:rPr>
        <w:t xml:space="preserve"> </w:t>
      </w:r>
      <w:r w:rsidRPr="000E3CBD">
        <w:rPr>
          <w:rFonts w:cs="Arial"/>
          <w:szCs w:val="24"/>
        </w:rPr>
        <w:t>0208 424 1420</w:t>
      </w:r>
    </w:p>
    <w:p w:rsidR="00BF0F86" w:rsidRDefault="00BF0F86" w:rsidP="00BF0F86">
      <w:pPr>
        <w:ind w:left="1309" w:hanging="1309"/>
        <w:rPr>
          <w:rFonts w:cs="Arial"/>
          <w:b/>
          <w:sz w:val="28"/>
        </w:rPr>
      </w:pPr>
      <w:r>
        <w:rPr>
          <w:rFonts w:cs="Arial"/>
          <w:b/>
          <w:sz w:val="28"/>
        </w:rPr>
        <w:tab/>
      </w:r>
    </w:p>
    <w:p w:rsidR="00BF0F86" w:rsidRDefault="00BF0F86" w:rsidP="00BF0F86">
      <w:pPr>
        <w:ind w:left="1309"/>
        <w:rPr>
          <w:rFonts w:cs="Arial"/>
          <w:szCs w:val="24"/>
        </w:rPr>
      </w:pPr>
      <w:r>
        <w:rPr>
          <w:rFonts w:cs="Arial"/>
          <w:szCs w:val="24"/>
        </w:rPr>
        <w:t>Justin Phillips, Corporate Anti-Fraud Service Manager</w:t>
      </w:r>
    </w:p>
    <w:p w:rsidR="002A2389" w:rsidRPr="00C92EED" w:rsidRDefault="00BF0F86" w:rsidP="00BF0F86">
      <w:pPr>
        <w:pStyle w:val="Infotext"/>
        <w:ind w:left="589" w:firstLine="720"/>
        <w:rPr>
          <w:sz w:val="24"/>
          <w:szCs w:val="24"/>
        </w:rPr>
      </w:pPr>
      <w:r w:rsidRPr="00C92EED">
        <w:rPr>
          <w:rFonts w:cs="Arial"/>
          <w:sz w:val="24"/>
          <w:szCs w:val="24"/>
        </w:rPr>
        <w:t>Tel: 0208 424 1609</w:t>
      </w:r>
    </w:p>
    <w:p w:rsidR="002A2389" w:rsidRDefault="002A2389"/>
    <w:p w:rsidR="002A2389" w:rsidRDefault="002A2389"/>
    <w:p w:rsidR="002A2389" w:rsidRDefault="002A2389">
      <w:pPr>
        <w:pStyle w:val="Infotext"/>
      </w:pPr>
      <w:r w:rsidRPr="00D914D2">
        <w:rPr>
          <w:b/>
        </w:rPr>
        <w:t>Background Papers</w:t>
      </w:r>
      <w:r>
        <w:t xml:space="preserve">:  </w:t>
      </w:r>
      <w:r w:rsidR="00BF0F86">
        <w:t>None</w:t>
      </w:r>
    </w:p>
    <w:p w:rsidR="002A2389" w:rsidRDefault="002A2389"/>
    <w:p w:rsidR="00FF71E5" w:rsidRDefault="00FF71E5"/>
    <w:p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F" w:rsidRDefault="00E609EF">
      <w:r>
        <w:separator/>
      </w:r>
    </w:p>
  </w:endnote>
  <w:endnote w:type="continuationSeparator" w:id="0">
    <w:p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F" w:rsidRDefault="00E609EF">
      <w:r>
        <w:separator/>
      </w:r>
    </w:p>
  </w:footnote>
  <w:footnote w:type="continuationSeparator" w:id="0">
    <w:p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939BA"/>
    <w:rsid w:val="001A6EB0"/>
    <w:rsid w:val="001B441D"/>
    <w:rsid w:val="001C5225"/>
    <w:rsid w:val="001E0219"/>
    <w:rsid w:val="001E66F9"/>
    <w:rsid w:val="00213BE7"/>
    <w:rsid w:val="00231A1D"/>
    <w:rsid w:val="00244120"/>
    <w:rsid w:val="002667E7"/>
    <w:rsid w:val="00293F9F"/>
    <w:rsid w:val="002A2389"/>
    <w:rsid w:val="002C08E2"/>
    <w:rsid w:val="002C1794"/>
    <w:rsid w:val="002E6637"/>
    <w:rsid w:val="002E77E3"/>
    <w:rsid w:val="00332947"/>
    <w:rsid w:val="00333EB4"/>
    <w:rsid w:val="00345915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8356B"/>
    <w:rsid w:val="00595384"/>
    <w:rsid w:val="00597314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0E6"/>
    <w:rsid w:val="00796503"/>
    <w:rsid w:val="007D2BDA"/>
    <w:rsid w:val="007D56C8"/>
    <w:rsid w:val="007E3934"/>
    <w:rsid w:val="007E7303"/>
    <w:rsid w:val="00815075"/>
    <w:rsid w:val="008212A0"/>
    <w:rsid w:val="00837F53"/>
    <w:rsid w:val="008D1750"/>
    <w:rsid w:val="008D7800"/>
    <w:rsid w:val="008E2910"/>
    <w:rsid w:val="008E4913"/>
    <w:rsid w:val="00900464"/>
    <w:rsid w:val="0090100E"/>
    <w:rsid w:val="00903131"/>
    <w:rsid w:val="00935AEF"/>
    <w:rsid w:val="0093767E"/>
    <w:rsid w:val="00972A02"/>
    <w:rsid w:val="0099517C"/>
    <w:rsid w:val="009A0937"/>
    <w:rsid w:val="009A3F86"/>
    <w:rsid w:val="009B2ECD"/>
    <w:rsid w:val="009B7914"/>
    <w:rsid w:val="009F430B"/>
    <w:rsid w:val="00A566E7"/>
    <w:rsid w:val="00A940D3"/>
    <w:rsid w:val="00A96FCA"/>
    <w:rsid w:val="00AA4BE8"/>
    <w:rsid w:val="00AC0AAB"/>
    <w:rsid w:val="00AC7BA9"/>
    <w:rsid w:val="00B0425E"/>
    <w:rsid w:val="00B13A18"/>
    <w:rsid w:val="00B900E2"/>
    <w:rsid w:val="00B9118E"/>
    <w:rsid w:val="00BD684A"/>
    <w:rsid w:val="00BF0F86"/>
    <w:rsid w:val="00C32DAE"/>
    <w:rsid w:val="00C40E24"/>
    <w:rsid w:val="00C92D9A"/>
    <w:rsid w:val="00C92EED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4438C"/>
    <w:rsid w:val="00E609EF"/>
    <w:rsid w:val="00E8515B"/>
    <w:rsid w:val="00E85A55"/>
    <w:rsid w:val="00E92067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Default">
    <w:name w:val="Default"/>
    <w:rsid w:val="009A3F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Default">
    <w:name w:val="Default"/>
    <w:rsid w:val="009A3F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3584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Miriam Wearing</cp:lastModifiedBy>
  <cp:revision>3</cp:revision>
  <cp:lastPrinted>2007-07-12T09:53:00Z</cp:lastPrinted>
  <dcterms:created xsi:type="dcterms:W3CDTF">2020-01-13T09:22:00Z</dcterms:created>
  <dcterms:modified xsi:type="dcterms:W3CDTF">2020-01-13T09:23:00Z</dcterms:modified>
</cp:coreProperties>
</file>